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C13D08" w:rsidRDefault="00B17950">
      <w:pPr>
        <w:jc w:val="center"/>
        <w:rPr>
          <w:b/>
          <w:color w:val="000000"/>
          <w:sz w:val="28"/>
          <w:szCs w:val="28"/>
        </w:rPr>
      </w:pPr>
      <w:r>
        <w:rPr>
          <w:b/>
          <w:color w:val="000000"/>
          <w:sz w:val="28"/>
          <w:szCs w:val="28"/>
        </w:rPr>
        <w:t>Certification of Compliance with the Statutory Eligibility Requirements of the Violence Against Women Act as Amended, STOP Formula Grant Program</w:t>
      </w:r>
    </w:p>
    <w:p w14:paraId="00000002" w14:textId="77777777" w:rsidR="00C13D08" w:rsidRDefault="00C13D08">
      <w:pPr>
        <w:rPr>
          <w:color w:val="000000"/>
          <w:sz w:val="19"/>
          <w:szCs w:val="19"/>
        </w:rPr>
      </w:pPr>
    </w:p>
    <w:p w14:paraId="00000003" w14:textId="77777777" w:rsidR="00C13D08" w:rsidRDefault="00B17950">
      <w:r>
        <w:t>This chart provides brief summaries of the VAWA STOP Certification Requirements that apply to subgrantees, as well as links to additional information on how to comply with the certification requirement and to the governing VAWA statutory language. State STOP administrators may wish to incorporate this chart into their solicitation materials and other resources for subgrantees and potential subgrantees to provide a useful summary of these program requirements.</w:t>
      </w:r>
    </w:p>
    <w:p w14:paraId="00000004" w14:textId="77777777" w:rsidR="00C13D08" w:rsidRDefault="00C13D08"/>
    <w:p w14:paraId="00000005" w14:textId="2FEED6C1" w:rsidR="00C13D08" w:rsidRDefault="00B17950">
      <w:r>
        <w:t xml:space="preserve">The chart may be used in conjunction with the information in a companion </w:t>
      </w:r>
      <w:sdt>
        <w:sdtPr>
          <w:tag w:val="goog_rdk_0"/>
          <w:id w:val="-892278398"/>
        </w:sdtPr>
        <w:sdtEndPr/>
        <w:sdtContent/>
      </w:sdt>
      <w:hyperlink r:id="rId6" w:history="1">
        <w:r w:rsidRPr="000035DC">
          <w:rPr>
            <w:rStyle w:val="Hyperlink"/>
          </w:rPr>
          <w:t>docum</w:t>
        </w:r>
        <w:r w:rsidRPr="000035DC">
          <w:rPr>
            <w:rStyle w:val="Hyperlink"/>
          </w:rPr>
          <w:t>e</w:t>
        </w:r>
        <w:r w:rsidRPr="000035DC">
          <w:rPr>
            <w:rStyle w:val="Hyperlink"/>
          </w:rPr>
          <w:t>nt</w:t>
        </w:r>
      </w:hyperlink>
      <w:r>
        <w:t xml:space="preserve"> that briefly describes and provides links to additional VAWA and other federal requirements to inform subgrantees about the numerous requirements with which they must comply.</w:t>
      </w:r>
    </w:p>
    <w:p w14:paraId="00000006" w14:textId="77777777" w:rsidR="00C13D08" w:rsidRDefault="00C13D08"/>
    <w:tbl>
      <w:tblPr>
        <w:tblStyle w:val="a0"/>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15"/>
        <w:gridCol w:w="3510"/>
        <w:gridCol w:w="2065"/>
      </w:tblGrid>
      <w:tr w:rsidR="00C13D08" w14:paraId="7BF6B411" w14:textId="77777777">
        <w:tc>
          <w:tcPr>
            <w:tcW w:w="10790" w:type="dxa"/>
            <w:gridSpan w:val="3"/>
          </w:tcPr>
          <w:p w14:paraId="00000007" w14:textId="77777777" w:rsidR="00C13D08" w:rsidRDefault="00B17950">
            <w:pPr>
              <w:rPr>
                <w:b/>
                <w:color w:val="000000"/>
              </w:rPr>
            </w:pPr>
            <w:r>
              <w:rPr>
                <w:b/>
                <w:color w:val="000000"/>
              </w:rPr>
              <w:t>Forensic Medical Examination Payment Requirement for Victims of Sexual Assault</w:t>
            </w:r>
          </w:p>
        </w:tc>
      </w:tr>
      <w:tr w:rsidR="00C13D08" w14:paraId="70EF3C82" w14:textId="77777777">
        <w:tc>
          <w:tcPr>
            <w:tcW w:w="5215" w:type="dxa"/>
          </w:tcPr>
          <w:p w14:paraId="0000000A" w14:textId="77777777" w:rsidR="00C13D08" w:rsidRDefault="00B17950">
            <w:r>
              <w:t>Summary</w:t>
            </w:r>
          </w:p>
        </w:tc>
        <w:tc>
          <w:tcPr>
            <w:tcW w:w="3510" w:type="dxa"/>
          </w:tcPr>
          <w:p w14:paraId="0000000B" w14:textId="77777777" w:rsidR="00C13D08" w:rsidRDefault="00B17950">
            <w:r>
              <w:t>For more information</w:t>
            </w:r>
          </w:p>
        </w:tc>
        <w:tc>
          <w:tcPr>
            <w:tcW w:w="2065" w:type="dxa"/>
          </w:tcPr>
          <w:p w14:paraId="0000000C" w14:textId="77777777" w:rsidR="00C13D08" w:rsidRDefault="00BC46BF">
            <w:sdt>
              <w:sdtPr>
                <w:tag w:val="goog_rdk_1"/>
                <w:id w:val="-2066939804"/>
              </w:sdtPr>
              <w:sdtEndPr/>
              <w:sdtContent/>
            </w:sdt>
            <w:r w:rsidR="00B17950">
              <w:t>Statutory language</w:t>
            </w:r>
          </w:p>
        </w:tc>
      </w:tr>
      <w:tr w:rsidR="00C13D08" w14:paraId="24F14003" w14:textId="77777777">
        <w:tc>
          <w:tcPr>
            <w:tcW w:w="5215" w:type="dxa"/>
          </w:tcPr>
          <w:p w14:paraId="0000000D" w14:textId="77777777" w:rsidR="00C13D08" w:rsidRDefault="00B17950">
            <w:pPr>
              <w:rPr>
                <w:color w:val="000000"/>
              </w:rPr>
            </w:pPr>
            <w:r>
              <w:t>Subgrantees</w:t>
            </w:r>
            <w:r>
              <w:rPr>
                <w:color w:val="000000"/>
              </w:rPr>
              <w:t xml:space="preserve"> must certify that the state or another governmental entity “incurs the full out-of-pocket cost of forensic medical exams. . . for victims of sexual assault” and “coordinates with health care providers in the region to notify victims of sexual assault of the availability of rape exams at no cost to the victims.” In addition, the </w:t>
            </w:r>
            <w:r>
              <w:t>subgrantee</w:t>
            </w:r>
            <w:r>
              <w:rPr>
                <w:color w:val="000000"/>
              </w:rPr>
              <w:t xml:space="preserve"> must certify compliance with this requirement for all victims, without regard to whether a victim cooperates in the criminal justice system or cooperates with law enforcement. </w:t>
            </w:r>
          </w:p>
        </w:tc>
        <w:tc>
          <w:tcPr>
            <w:tcW w:w="3510" w:type="dxa"/>
          </w:tcPr>
          <w:p w14:paraId="0000000E" w14:textId="77777777" w:rsidR="00C13D08" w:rsidRDefault="00BC46BF">
            <w:pPr>
              <w:rPr>
                <w:color w:val="000000"/>
              </w:rPr>
            </w:pPr>
            <w:hyperlink r:id="rId7">
              <w:r w:rsidR="00B17950">
                <w:rPr>
                  <w:color w:val="0563C1"/>
                  <w:u w:val="single"/>
                </w:rPr>
                <w:t>STOP FAQs</w:t>
              </w:r>
            </w:hyperlink>
            <w:r w:rsidR="00B17950">
              <w:rPr>
                <w:color w:val="000000"/>
              </w:rPr>
              <w:t xml:space="preserve"> (see pp. 6-7. 29-30, and 37-40)</w:t>
            </w:r>
          </w:p>
          <w:p w14:paraId="0000000F" w14:textId="77777777" w:rsidR="00C13D08" w:rsidRDefault="00C13D08">
            <w:pPr>
              <w:rPr>
                <w:color w:val="000000"/>
              </w:rPr>
            </w:pPr>
          </w:p>
          <w:p w14:paraId="00000010" w14:textId="77777777" w:rsidR="00C13D08" w:rsidRDefault="00BC46BF">
            <w:pPr>
              <w:rPr>
                <w:color w:val="000000"/>
              </w:rPr>
            </w:pPr>
            <w:hyperlink r:id="rId8">
              <w:proofErr w:type="gramStart"/>
              <w:r w:rsidR="00B17950">
                <w:rPr>
                  <w:color w:val="0563C1"/>
                  <w:u w:val="single"/>
                </w:rPr>
                <w:t>ALSO</w:t>
              </w:r>
              <w:proofErr w:type="gramEnd"/>
              <w:r w:rsidR="00B17950">
                <w:rPr>
                  <w:color w:val="0563C1"/>
                  <w:u w:val="single"/>
                </w:rPr>
                <w:t xml:space="preserve"> STAAR STOP TA Clinic </w:t>
              </w:r>
            </w:hyperlink>
          </w:p>
          <w:p w14:paraId="00000011" w14:textId="77777777" w:rsidR="00C13D08" w:rsidRDefault="00C13D08"/>
        </w:tc>
        <w:tc>
          <w:tcPr>
            <w:tcW w:w="2065" w:type="dxa"/>
          </w:tcPr>
          <w:p w14:paraId="00000012" w14:textId="77777777" w:rsidR="00C13D08" w:rsidRDefault="00BC46BF">
            <w:hyperlink r:id="rId9">
              <w:r w:rsidR="00B17950">
                <w:rPr>
                  <w:color w:val="1155CC"/>
                  <w:u w:val="single"/>
                </w:rPr>
                <w:t>34 U.S.C. § 10449(a)-(d)</w:t>
              </w:r>
            </w:hyperlink>
          </w:p>
        </w:tc>
        <w:bookmarkStart w:id="0" w:name="_GoBack"/>
        <w:bookmarkEnd w:id="0"/>
      </w:tr>
      <w:tr w:rsidR="00C13D08" w14:paraId="5631856F" w14:textId="77777777">
        <w:tc>
          <w:tcPr>
            <w:tcW w:w="10790" w:type="dxa"/>
            <w:gridSpan w:val="3"/>
          </w:tcPr>
          <w:p w14:paraId="00000013" w14:textId="77777777" w:rsidR="00C13D08" w:rsidRDefault="00B17950">
            <w:r>
              <w:rPr>
                <w:b/>
                <w:color w:val="000000"/>
              </w:rPr>
              <w:t>Filing Costs for Criminal Charges and Protection Orders</w:t>
            </w:r>
          </w:p>
        </w:tc>
      </w:tr>
      <w:tr w:rsidR="00C13D08" w14:paraId="44D8E511" w14:textId="77777777">
        <w:tc>
          <w:tcPr>
            <w:tcW w:w="5215" w:type="dxa"/>
          </w:tcPr>
          <w:p w14:paraId="00000016" w14:textId="77777777" w:rsidR="00C13D08" w:rsidRDefault="00B17950">
            <w:r>
              <w:t>Summary</w:t>
            </w:r>
          </w:p>
        </w:tc>
        <w:tc>
          <w:tcPr>
            <w:tcW w:w="3510" w:type="dxa"/>
          </w:tcPr>
          <w:p w14:paraId="00000017" w14:textId="77777777" w:rsidR="00C13D08" w:rsidRDefault="00B17950">
            <w:r>
              <w:t>For more information</w:t>
            </w:r>
          </w:p>
        </w:tc>
        <w:tc>
          <w:tcPr>
            <w:tcW w:w="2065" w:type="dxa"/>
          </w:tcPr>
          <w:p w14:paraId="00000018" w14:textId="77777777" w:rsidR="00C13D08" w:rsidRDefault="00B17950">
            <w:r>
              <w:t>Statutory language</w:t>
            </w:r>
          </w:p>
        </w:tc>
      </w:tr>
      <w:tr w:rsidR="00C13D08" w14:paraId="4FD88CAD" w14:textId="77777777">
        <w:tc>
          <w:tcPr>
            <w:tcW w:w="5215" w:type="dxa"/>
          </w:tcPr>
          <w:p w14:paraId="00000019" w14:textId="77777777" w:rsidR="00C13D08" w:rsidRDefault="00B17950">
            <w:pPr>
              <w:rPr>
                <w:color w:val="000000"/>
              </w:rPr>
            </w:pPr>
            <w:r>
              <w:t>Subgrantees</w:t>
            </w:r>
            <w:r>
              <w:rPr>
                <w:color w:val="000000"/>
              </w:rPr>
              <w:t xml:space="preserve"> must certify that the victims must not bear any fees or costs associated with:</w:t>
            </w:r>
          </w:p>
          <w:p w14:paraId="0000001A" w14:textId="77777777" w:rsidR="00C13D08" w:rsidRDefault="00B17950">
            <w:pPr>
              <w:rPr>
                <w:color w:val="000000"/>
              </w:rPr>
            </w:pPr>
            <w:r>
              <w:rPr>
                <w:color w:val="000000"/>
              </w:rPr>
              <w:t>- The prosecution of any misdemeanor or felony domestic violence, dating violence, sexual assault, or stalking offense, including costs associated with the filing of criminal charges or the with the filing, issuance, registration, modification, enforcement, dismissal, withdrawal of service of a warrant, or witness subpoena; and</w:t>
            </w:r>
          </w:p>
          <w:p w14:paraId="0000001B" w14:textId="77777777" w:rsidR="00C13D08" w:rsidRDefault="00B17950">
            <w:pPr>
              <w:rPr>
                <w:color w:val="000000"/>
              </w:rPr>
            </w:pPr>
            <w:r>
              <w:rPr>
                <w:color w:val="000000"/>
              </w:rPr>
              <w:t>- The filing, issuance, registration, modification, enforcement, dismissal, withdrawal or service of a protection order, or a petition for a protection order.</w:t>
            </w:r>
          </w:p>
          <w:p w14:paraId="0000001C" w14:textId="77777777" w:rsidR="00C13D08" w:rsidRDefault="00C13D08"/>
        </w:tc>
        <w:tc>
          <w:tcPr>
            <w:tcW w:w="3510" w:type="dxa"/>
          </w:tcPr>
          <w:p w14:paraId="0000001D" w14:textId="77777777" w:rsidR="00C13D08" w:rsidRDefault="00BC46BF">
            <w:pPr>
              <w:rPr>
                <w:color w:val="000000"/>
              </w:rPr>
            </w:pPr>
            <w:hyperlink r:id="rId10">
              <w:r w:rsidR="00B17950">
                <w:rPr>
                  <w:color w:val="0563C1"/>
                  <w:u w:val="single"/>
                </w:rPr>
                <w:t>STOP FAQs</w:t>
              </w:r>
            </w:hyperlink>
            <w:r w:rsidR="00B17950">
              <w:rPr>
                <w:color w:val="000000"/>
              </w:rPr>
              <w:t xml:space="preserve"> (see pp. 40-43)</w:t>
            </w:r>
          </w:p>
          <w:p w14:paraId="0000001E" w14:textId="77777777" w:rsidR="00C13D08" w:rsidRDefault="00C13D08">
            <w:pPr>
              <w:rPr>
                <w:color w:val="000000"/>
                <w:highlight w:val="yellow"/>
              </w:rPr>
            </w:pPr>
          </w:p>
          <w:p w14:paraId="0000001F" w14:textId="77777777" w:rsidR="00C13D08" w:rsidRDefault="00BC46BF">
            <w:hyperlink r:id="rId11">
              <w:r w:rsidR="00B17950">
                <w:rPr>
                  <w:color w:val="1155CC"/>
                  <w:u w:val="single"/>
                </w:rPr>
                <w:t>BWJP No Fee Toolkit</w:t>
              </w:r>
            </w:hyperlink>
          </w:p>
          <w:p w14:paraId="00000020" w14:textId="77777777" w:rsidR="00C13D08" w:rsidRDefault="00C13D08"/>
        </w:tc>
        <w:tc>
          <w:tcPr>
            <w:tcW w:w="2065" w:type="dxa"/>
          </w:tcPr>
          <w:p w14:paraId="00000021" w14:textId="77777777" w:rsidR="00C13D08" w:rsidRDefault="00BC46BF">
            <w:hyperlink r:id="rId12">
              <w:r w:rsidR="00B17950">
                <w:rPr>
                  <w:color w:val="1155CC"/>
                  <w:u w:val="single"/>
                </w:rPr>
                <w:t>34 U.S.C. § 10450</w:t>
              </w:r>
            </w:hyperlink>
          </w:p>
        </w:tc>
      </w:tr>
      <w:tr w:rsidR="00C13D08" w14:paraId="419997F9" w14:textId="77777777">
        <w:tc>
          <w:tcPr>
            <w:tcW w:w="10790" w:type="dxa"/>
            <w:gridSpan w:val="3"/>
          </w:tcPr>
          <w:p w14:paraId="00000022" w14:textId="77777777" w:rsidR="00C13D08" w:rsidRDefault="00B17950">
            <w:r>
              <w:rPr>
                <w:b/>
                <w:color w:val="000000"/>
              </w:rPr>
              <w:t>Judicial Notification</w:t>
            </w:r>
          </w:p>
        </w:tc>
      </w:tr>
      <w:tr w:rsidR="00C13D08" w14:paraId="3C67FE1A" w14:textId="77777777">
        <w:tc>
          <w:tcPr>
            <w:tcW w:w="5215" w:type="dxa"/>
          </w:tcPr>
          <w:p w14:paraId="00000025" w14:textId="77777777" w:rsidR="00C13D08" w:rsidRDefault="00B17950">
            <w:r>
              <w:t>Summary</w:t>
            </w:r>
          </w:p>
        </w:tc>
        <w:tc>
          <w:tcPr>
            <w:tcW w:w="3510" w:type="dxa"/>
          </w:tcPr>
          <w:p w14:paraId="00000026" w14:textId="77777777" w:rsidR="00C13D08" w:rsidRDefault="00B17950">
            <w:r>
              <w:t>For more information</w:t>
            </w:r>
          </w:p>
        </w:tc>
        <w:tc>
          <w:tcPr>
            <w:tcW w:w="2065" w:type="dxa"/>
          </w:tcPr>
          <w:p w14:paraId="00000027" w14:textId="77777777" w:rsidR="00C13D08" w:rsidRDefault="00B17950">
            <w:r>
              <w:t>Statutory language</w:t>
            </w:r>
          </w:p>
        </w:tc>
      </w:tr>
      <w:tr w:rsidR="00C13D08" w14:paraId="7C8C12B1" w14:textId="77777777">
        <w:tc>
          <w:tcPr>
            <w:tcW w:w="5215" w:type="dxa"/>
          </w:tcPr>
          <w:p w14:paraId="00000028" w14:textId="77777777" w:rsidR="00C13D08" w:rsidRDefault="00B17950">
            <w:pPr>
              <w:rPr>
                <w:color w:val="000000"/>
              </w:rPr>
            </w:pPr>
            <w:r>
              <w:t>Subgrantees</w:t>
            </w:r>
            <w:r>
              <w:rPr>
                <w:color w:val="000000"/>
              </w:rPr>
              <w:t xml:space="preserve"> must certify that judicial administrative policies and practices include notification to domestic violence offenders of the firearm prohibitions set forth in 18 U.S.C. 922(g)(8) </w:t>
            </w:r>
            <w:r>
              <w:rPr>
                <w:color w:val="000000"/>
              </w:rPr>
              <w:lastRenderedPageBreak/>
              <w:t>(domestic violence protection orders) and 18 U.S.C. 922(g)(9) (misdemeanor crimes of domestic violence), as well as any applicable related Federal, State, or local laws.</w:t>
            </w:r>
          </w:p>
        </w:tc>
        <w:tc>
          <w:tcPr>
            <w:tcW w:w="3510" w:type="dxa"/>
          </w:tcPr>
          <w:p w14:paraId="00000029" w14:textId="77777777" w:rsidR="00C13D08" w:rsidRDefault="00BC46BF">
            <w:pPr>
              <w:rPr>
                <w:color w:val="000000"/>
              </w:rPr>
            </w:pPr>
            <w:hyperlink r:id="rId13">
              <w:r w:rsidR="00B17950">
                <w:rPr>
                  <w:color w:val="0563C1"/>
                  <w:u w:val="single"/>
                </w:rPr>
                <w:t>STOP FAQs</w:t>
              </w:r>
            </w:hyperlink>
            <w:r w:rsidR="00B17950">
              <w:rPr>
                <w:color w:val="000000"/>
              </w:rPr>
              <w:t xml:space="preserve"> (see pp. 40-43)</w:t>
            </w:r>
          </w:p>
          <w:p w14:paraId="0000002A" w14:textId="77777777" w:rsidR="00C13D08" w:rsidRDefault="00C13D08">
            <w:pPr>
              <w:rPr>
                <w:color w:val="000000"/>
              </w:rPr>
            </w:pPr>
          </w:p>
          <w:p w14:paraId="0000002B" w14:textId="77777777" w:rsidR="00C13D08" w:rsidRDefault="00BC46BF">
            <w:hyperlink r:id="rId14">
              <w:r w:rsidR="00B17950">
                <w:rPr>
                  <w:color w:val="1155CC"/>
                  <w:u w:val="single"/>
                </w:rPr>
                <w:t>NCPOFFC Firearms Checklist for Judges</w:t>
              </w:r>
            </w:hyperlink>
          </w:p>
          <w:p w14:paraId="0000002C" w14:textId="77777777" w:rsidR="00C13D08" w:rsidRDefault="00C13D08">
            <w:pPr>
              <w:rPr>
                <w:color w:val="000000"/>
              </w:rPr>
            </w:pPr>
          </w:p>
          <w:p w14:paraId="0000002D" w14:textId="77777777" w:rsidR="00C13D08" w:rsidRDefault="00C13D08"/>
        </w:tc>
        <w:tc>
          <w:tcPr>
            <w:tcW w:w="2065" w:type="dxa"/>
          </w:tcPr>
          <w:p w14:paraId="0000002E" w14:textId="77777777" w:rsidR="00C13D08" w:rsidRDefault="00BC46BF">
            <w:hyperlink r:id="rId15">
              <w:r w:rsidR="00B17950">
                <w:rPr>
                  <w:color w:val="1155CC"/>
                  <w:u w:val="single"/>
                </w:rPr>
                <w:t>34 U.S.C. § 10449(e)</w:t>
              </w:r>
            </w:hyperlink>
          </w:p>
        </w:tc>
      </w:tr>
      <w:tr w:rsidR="00C13D08" w14:paraId="24B61C0B" w14:textId="77777777">
        <w:tc>
          <w:tcPr>
            <w:tcW w:w="10790" w:type="dxa"/>
            <w:gridSpan w:val="3"/>
          </w:tcPr>
          <w:p w14:paraId="0000002F" w14:textId="77777777" w:rsidR="00C13D08" w:rsidRDefault="00B17950">
            <w:r>
              <w:rPr>
                <w:b/>
                <w:color w:val="000000"/>
              </w:rPr>
              <w:t>Polygraph Testing Prohibition</w:t>
            </w:r>
          </w:p>
        </w:tc>
      </w:tr>
      <w:tr w:rsidR="00C13D08" w14:paraId="795EA2B1" w14:textId="77777777">
        <w:tc>
          <w:tcPr>
            <w:tcW w:w="5215" w:type="dxa"/>
          </w:tcPr>
          <w:p w14:paraId="00000032" w14:textId="77777777" w:rsidR="00C13D08" w:rsidRDefault="00B17950">
            <w:r>
              <w:t>Summary</w:t>
            </w:r>
          </w:p>
        </w:tc>
        <w:tc>
          <w:tcPr>
            <w:tcW w:w="3510" w:type="dxa"/>
          </w:tcPr>
          <w:p w14:paraId="00000033" w14:textId="77777777" w:rsidR="00C13D08" w:rsidRDefault="00B17950">
            <w:r>
              <w:t>For more information</w:t>
            </w:r>
          </w:p>
        </w:tc>
        <w:tc>
          <w:tcPr>
            <w:tcW w:w="2065" w:type="dxa"/>
          </w:tcPr>
          <w:p w14:paraId="00000034" w14:textId="77777777" w:rsidR="00C13D08" w:rsidRDefault="00B17950">
            <w:r>
              <w:t>Statutory language</w:t>
            </w:r>
          </w:p>
        </w:tc>
      </w:tr>
      <w:tr w:rsidR="00C13D08" w14:paraId="3E945231" w14:textId="77777777">
        <w:tc>
          <w:tcPr>
            <w:tcW w:w="5215" w:type="dxa"/>
          </w:tcPr>
          <w:p w14:paraId="00000035" w14:textId="77777777" w:rsidR="00C13D08" w:rsidRDefault="00B17950">
            <w:pPr>
              <w:rPr>
                <w:color w:val="000000"/>
              </w:rPr>
            </w:pPr>
            <w:r>
              <w:t>Subgrantees</w:t>
            </w:r>
            <w:r>
              <w:rPr>
                <w:color w:val="000000"/>
              </w:rPr>
              <w:t xml:space="preserve"> must certify that their laws, policies, or practices ensure that victims of alleged sex offenses are not required to submit to a polygraph examination or other truth telling device as a condition for proceeding with the investigation of such an offense, and that the refusal of a victim to submit to a polygraph or other truth telling examination shall not prevent the investigation, charging, or prosecution of an alleged sex offense.</w:t>
            </w:r>
          </w:p>
        </w:tc>
        <w:tc>
          <w:tcPr>
            <w:tcW w:w="3510" w:type="dxa"/>
          </w:tcPr>
          <w:p w14:paraId="00000036" w14:textId="77777777" w:rsidR="00C13D08" w:rsidRDefault="00BC46BF">
            <w:pPr>
              <w:rPr>
                <w:color w:val="000000"/>
              </w:rPr>
            </w:pPr>
            <w:hyperlink r:id="rId16">
              <w:r w:rsidR="00B17950">
                <w:rPr>
                  <w:color w:val="0563C1"/>
                  <w:u w:val="single"/>
                </w:rPr>
                <w:t>STOP FAQs</w:t>
              </w:r>
            </w:hyperlink>
            <w:r w:rsidR="00B17950">
              <w:rPr>
                <w:color w:val="000000"/>
              </w:rPr>
              <w:t xml:space="preserve"> (see p. 44)</w:t>
            </w:r>
          </w:p>
          <w:p w14:paraId="00000037" w14:textId="77777777" w:rsidR="00C13D08" w:rsidRDefault="00C13D08"/>
        </w:tc>
        <w:tc>
          <w:tcPr>
            <w:tcW w:w="2065" w:type="dxa"/>
          </w:tcPr>
          <w:p w14:paraId="00000038" w14:textId="77777777" w:rsidR="00C13D08" w:rsidRDefault="00BC46BF">
            <w:hyperlink r:id="rId17">
              <w:r w:rsidR="00B17950">
                <w:rPr>
                  <w:color w:val="1155CC"/>
                  <w:u w:val="single"/>
                </w:rPr>
                <w:t>34 U.S.C. § 10451</w:t>
              </w:r>
            </w:hyperlink>
          </w:p>
        </w:tc>
      </w:tr>
      <w:tr w:rsidR="00C13D08" w14:paraId="5B21FF3C" w14:textId="77777777">
        <w:tc>
          <w:tcPr>
            <w:tcW w:w="10790" w:type="dxa"/>
            <w:gridSpan w:val="3"/>
          </w:tcPr>
          <w:p w14:paraId="00000039" w14:textId="77777777" w:rsidR="00C13D08" w:rsidRDefault="00B17950">
            <w:pPr>
              <w:rPr>
                <w:color w:val="000000"/>
              </w:rPr>
            </w:pPr>
            <w:r>
              <w:rPr>
                <w:b/>
                <w:color w:val="000000"/>
              </w:rPr>
              <w:t>Prosecution Certification</w:t>
            </w:r>
          </w:p>
        </w:tc>
      </w:tr>
      <w:tr w:rsidR="00C13D08" w14:paraId="42498E0B" w14:textId="77777777">
        <w:tc>
          <w:tcPr>
            <w:tcW w:w="5215" w:type="dxa"/>
          </w:tcPr>
          <w:p w14:paraId="0000003C" w14:textId="77777777" w:rsidR="00C13D08" w:rsidRDefault="00B17950">
            <w:r>
              <w:t>Summary</w:t>
            </w:r>
          </w:p>
        </w:tc>
        <w:tc>
          <w:tcPr>
            <w:tcW w:w="3510" w:type="dxa"/>
          </w:tcPr>
          <w:p w14:paraId="0000003D" w14:textId="77777777" w:rsidR="00C13D08" w:rsidRDefault="00B17950">
            <w:r>
              <w:t>For more information</w:t>
            </w:r>
          </w:p>
        </w:tc>
        <w:tc>
          <w:tcPr>
            <w:tcW w:w="2065" w:type="dxa"/>
          </w:tcPr>
          <w:p w14:paraId="0000003E" w14:textId="77777777" w:rsidR="00C13D08" w:rsidRDefault="00B17950">
            <w:r>
              <w:t>Statutory language</w:t>
            </w:r>
          </w:p>
        </w:tc>
      </w:tr>
      <w:tr w:rsidR="00C13D08" w14:paraId="7142E757" w14:textId="77777777">
        <w:tc>
          <w:tcPr>
            <w:tcW w:w="5215" w:type="dxa"/>
          </w:tcPr>
          <w:p w14:paraId="0000003F" w14:textId="77777777" w:rsidR="00C13D08" w:rsidRDefault="00B17950">
            <w:pPr>
              <w:rPr>
                <w:color w:val="000000"/>
              </w:rPr>
            </w:pPr>
            <w:r>
              <w:t>Subgrantees</w:t>
            </w:r>
            <w:r>
              <w:rPr>
                <w:color w:val="000000"/>
              </w:rPr>
              <w:t xml:space="preserve"> that are prosecutor’s offices must certify that they will, within three years of the date of a subgrant with FY2023 funds, engage in planning, developing and implementing: </w:t>
            </w:r>
          </w:p>
          <w:p w14:paraId="00000040" w14:textId="77777777" w:rsidR="00C13D08" w:rsidRDefault="00B17950">
            <w:pPr>
              <w:numPr>
                <w:ilvl w:val="0"/>
                <w:numId w:val="1"/>
              </w:numPr>
              <w:pBdr>
                <w:top w:val="nil"/>
                <w:left w:val="nil"/>
                <w:bottom w:val="nil"/>
                <w:right w:val="nil"/>
                <w:between w:val="nil"/>
              </w:pBdr>
              <w:rPr>
                <w:color w:val="000000"/>
              </w:rPr>
            </w:pPr>
            <w:r>
              <w:rPr>
                <w:color w:val="000000"/>
              </w:rPr>
              <w:t>training developed by experts in the field regarding victim-centered approaches in domestic violence, sexual assault, dating violence, and stalking cases;</w:t>
            </w:r>
          </w:p>
          <w:p w14:paraId="00000041" w14:textId="77777777" w:rsidR="00C13D08" w:rsidRDefault="00B17950">
            <w:pPr>
              <w:numPr>
                <w:ilvl w:val="0"/>
                <w:numId w:val="1"/>
              </w:numPr>
              <w:pBdr>
                <w:top w:val="nil"/>
                <w:left w:val="nil"/>
                <w:bottom w:val="nil"/>
                <w:right w:val="nil"/>
                <w:between w:val="nil"/>
              </w:pBdr>
              <w:rPr>
                <w:color w:val="000000"/>
              </w:rPr>
            </w:pPr>
            <w:r>
              <w:rPr>
                <w:color w:val="000000"/>
              </w:rPr>
              <w:t>policies that support a victim-centered approach, informed by such training; and</w:t>
            </w:r>
          </w:p>
          <w:p w14:paraId="00000042" w14:textId="77777777" w:rsidR="00C13D08" w:rsidRDefault="00B17950">
            <w:pPr>
              <w:numPr>
                <w:ilvl w:val="0"/>
                <w:numId w:val="1"/>
              </w:numPr>
              <w:pBdr>
                <w:top w:val="nil"/>
                <w:left w:val="nil"/>
                <w:bottom w:val="nil"/>
                <w:right w:val="nil"/>
                <w:between w:val="nil"/>
              </w:pBdr>
              <w:rPr>
                <w:color w:val="000000"/>
              </w:rPr>
            </w:pPr>
            <w:r>
              <w:rPr>
                <w:color w:val="000000"/>
              </w:rPr>
              <w:t>a protocol outlining alternative practices and procedures for material witness petitions and bench warrants, consistent with best practices, that shall be exhausted before employing material witness petitions and bench warrants to obtain victim-witness testimony in the investigation, prosecution, and trial of a crime related to domestic violence, sexual assault, dating violence, and stalking of the victim in order to prevent further victimization and trauma to the victim.</w:t>
            </w:r>
          </w:p>
        </w:tc>
        <w:tc>
          <w:tcPr>
            <w:tcW w:w="3510" w:type="dxa"/>
          </w:tcPr>
          <w:p w14:paraId="00000043" w14:textId="13051F26" w:rsidR="00C13D08" w:rsidRDefault="00BC46BF">
            <w:pPr>
              <w:rPr>
                <w:color w:val="000000"/>
              </w:rPr>
            </w:pPr>
            <w:sdt>
              <w:sdtPr>
                <w:tag w:val="goog_rdk_2"/>
                <w:id w:val="901104083"/>
              </w:sdtPr>
              <w:sdtEndPr/>
              <w:sdtContent/>
            </w:sdt>
            <w:hyperlink r:id="rId18" w:history="1">
              <w:r w:rsidR="00B17950" w:rsidRPr="00280C70">
                <w:rPr>
                  <w:rStyle w:val="Hyperlink"/>
                </w:rPr>
                <w:t>Prosecution Certification Template</w:t>
              </w:r>
            </w:hyperlink>
          </w:p>
          <w:p w14:paraId="00000044" w14:textId="77777777" w:rsidR="00C13D08" w:rsidRDefault="00C13D08">
            <w:pPr>
              <w:rPr>
                <w:color w:val="000000"/>
              </w:rPr>
            </w:pPr>
          </w:p>
          <w:p w14:paraId="00000045" w14:textId="77777777" w:rsidR="00C13D08" w:rsidRDefault="00BC46BF">
            <w:hyperlink r:id="rId19">
              <w:r w:rsidR="00B17950">
                <w:rPr>
                  <w:color w:val="0563C1"/>
                  <w:u w:val="single"/>
                </w:rPr>
                <w:t>STOP TA Clinic</w:t>
              </w:r>
            </w:hyperlink>
          </w:p>
          <w:p w14:paraId="00000046" w14:textId="77777777" w:rsidR="00C13D08" w:rsidRDefault="00C13D08"/>
          <w:p w14:paraId="00000047" w14:textId="77777777" w:rsidR="00C13D08" w:rsidRDefault="00BC46BF">
            <w:pPr>
              <w:rPr>
                <w:color w:val="000000"/>
              </w:rPr>
            </w:pPr>
            <w:hyperlink r:id="rId20">
              <w:r w:rsidR="00B17950">
                <w:rPr>
                  <w:color w:val="0563C1"/>
                  <w:u w:val="single"/>
                </w:rPr>
                <w:t>STOP TA Clinic</w:t>
              </w:r>
            </w:hyperlink>
          </w:p>
          <w:p w14:paraId="00000048" w14:textId="77777777" w:rsidR="00C13D08" w:rsidRDefault="00C13D08">
            <w:pPr>
              <w:rPr>
                <w:color w:val="000000"/>
              </w:rPr>
            </w:pPr>
          </w:p>
          <w:p w14:paraId="00000049" w14:textId="77777777" w:rsidR="00C13D08" w:rsidRDefault="00C13D08">
            <w:pPr>
              <w:rPr>
                <w:color w:val="000000"/>
              </w:rPr>
            </w:pPr>
            <w:bookmarkStart w:id="1" w:name="_heading=h.gjdgxs" w:colFirst="0" w:colLast="0"/>
            <w:bookmarkEnd w:id="1"/>
          </w:p>
          <w:p w14:paraId="0000004A" w14:textId="77777777" w:rsidR="00C13D08" w:rsidRDefault="00C13D08">
            <w:pPr>
              <w:rPr>
                <w:b/>
                <w:color w:val="000000"/>
              </w:rPr>
            </w:pPr>
          </w:p>
          <w:p w14:paraId="0000004B" w14:textId="77777777" w:rsidR="00C13D08" w:rsidRDefault="00C13D08"/>
        </w:tc>
        <w:tc>
          <w:tcPr>
            <w:tcW w:w="2065" w:type="dxa"/>
          </w:tcPr>
          <w:p w14:paraId="0000004C" w14:textId="77777777" w:rsidR="00C13D08" w:rsidRDefault="00BC46BF">
            <w:hyperlink r:id="rId21">
              <w:r w:rsidR="00B17950">
                <w:rPr>
                  <w:color w:val="1155CC"/>
                  <w:u w:val="single"/>
                </w:rPr>
                <w:t>34 U.S.C. § 10454</w:t>
              </w:r>
            </w:hyperlink>
          </w:p>
        </w:tc>
      </w:tr>
    </w:tbl>
    <w:p w14:paraId="0000004D" w14:textId="77777777" w:rsidR="00C13D08" w:rsidRDefault="00C13D08"/>
    <w:sectPr w:rsidR="00C13D08">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2F3DE8"/>
    <w:multiLevelType w:val="multilevel"/>
    <w:tmpl w:val="6CCA092A"/>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D08"/>
    <w:rsid w:val="000035DC"/>
    <w:rsid w:val="00280C70"/>
    <w:rsid w:val="00B17950"/>
    <w:rsid w:val="00BC46BF"/>
    <w:rsid w:val="00C13D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EE44FE-E59F-4963-A8A1-69BF6D441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F458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458A9"/>
    <w:rPr>
      <w:color w:val="0563C1" w:themeColor="hyperlink"/>
      <w:u w:val="single"/>
    </w:rPr>
  </w:style>
  <w:style w:type="character" w:styleId="FollowedHyperlink">
    <w:name w:val="FollowedHyperlink"/>
    <w:basedOn w:val="DefaultParagraphFont"/>
    <w:uiPriority w:val="99"/>
    <w:semiHidden/>
    <w:unhideWhenUsed/>
    <w:rsid w:val="00F458A9"/>
    <w:rPr>
      <w:color w:val="954F72" w:themeColor="followedHyperlink"/>
      <w:u w:val="single"/>
    </w:rPr>
  </w:style>
  <w:style w:type="paragraph" w:styleId="ListParagraph">
    <w:name w:val="List Paragraph"/>
    <w:basedOn w:val="Normal"/>
    <w:uiPriority w:val="34"/>
    <w:qFormat/>
    <w:rsid w:val="004B0469"/>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179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7950"/>
    <w:rPr>
      <w:rFonts w:ascii="Segoe UI" w:hAnsi="Segoe UI" w:cs="Segoe UI"/>
      <w:sz w:val="18"/>
      <w:szCs w:val="18"/>
    </w:rPr>
  </w:style>
  <w:style w:type="character" w:styleId="UnresolvedMention">
    <w:name w:val="Unresolved Mention"/>
    <w:basedOn w:val="DefaultParagraphFont"/>
    <w:uiPriority w:val="99"/>
    <w:semiHidden/>
    <w:unhideWhenUsed/>
    <w:rsid w:val="00B179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stopgrants.org/resource-library/stop-ta-clinic-7-25-funding-issues-and-current-trends-for-forensic-exams-with-nicole-stahlmann-iafn/" TargetMode="External"/><Relationship Id="rId13" Type="http://schemas.openxmlformats.org/officeDocument/2006/relationships/hyperlink" Target="https://knowledgebase.also-chicago.org/knowledgebase/wp-content/uploads/2020/11/Frequently-Asked-Questions-About-STOP-Formula-Grants.pdf" TargetMode="External"/><Relationship Id="rId18" Type="http://schemas.openxmlformats.org/officeDocument/2006/relationships/hyperlink" Target="https://stopgrants.org/resource-library/prosecution-certification-status-of-compliance-template/" TargetMode="External"/><Relationship Id="rId3" Type="http://schemas.openxmlformats.org/officeDocument/2006/relationships/styles" Target="styles.xml"/><Relationship Id="rId21" Type="http://schemas.openxmlformats.org/officeDocument/2006/relationships/hyperlink" Target="https://www.law.cornell.edu/uscode/text/34/10454" TargetMode="External"/><Relationship Id="rId7" Type="http://schemas.openxmlformats.org/officeDocument/2006/relationships/hyperlink" Target="https://knowledgebase.also-chicago.org/knowledgebase/wp-content/uploads/2020/11/Frequently-Asked-Questions-About-STOP-Formula-Grants.pdf" TargetMode="External"/><Relationship Id="rId12" Type="http://schemas.openxmlformats.org/officeDocument/2006/relationships/hyperlink" Target="https://www.law.cornell.edu/uscode/text/34/10450" TargetMode="External"/><Relationship Id="rId17" Type="http://schemas.openxmlformats.org/officeDocument/2006/relationships/hyperlink" Target="https://www.law.cornell.edu/uscode/text/34/10451" TargetMode="External"/><Relationship Id="rId2" Type="http://schemas.openxmlformats.org/officeDocument/2006/relationships/numbering" Target="numbering.xml"/><Relationship Id="rId16" Type="http://schemas.openxmlformats.org/officeDocument/2006/relationships/hyperlink" Target="https://knowledgebase.also-chicago.org/knowledgebase/wp-content/uploads/2020/11/Frequently-Asked-Questions-About-STOP-Formula-Grants.pdf" TargetMode="External"/><Relationship Id="rId20" Type="http://schemas.openxmlformats.org/officeDocument/2006/relationships/hyperlink" Target="https://stopgrants.org/resource-library/stop-ta-clinic-10-31-22-stop-formula-grant-prosecution-certification-with-marnie-shiels-ovw-and-john-wilkinson-aequitas/" TargetMode="External"/><Relationship Id="rId1" Type="http://schemas.openxmlformats.org/officeDocument/2006/relationships/customXml" Target="../customXml/item1.xml"/><Relationship Id="rId6" Type="http://schemas.openxmlformats.org/officeDocument/2006/relationships/hyperlink" Target="https://stopgrants.org/resource-library/additional-federal-requirements-rfp-insert-for-all-states-territories/" TargetMode="External"/><Relationship Id="rId11" Type="http://schemas.openxmlformats.org/officeDocument/2006/relationships/hyperlink" Target="https://bwjp.org/assets/vawa-no-fee-toolkit-combined-final.pdf" TargetMode="External"/><Relationship Id="rId5" Type="http://schemas.openxmlformats.org/officeDocument/2006/relationships/webSettings" Target="webSettings.xml"/><Relationship Id="rId15" Type="http://schemas.openxmlformats.org/officeDocument/2006/relationships/hyperlink" Target="https://www.law.cornell.edu/uscode/text/34/10449" TargetMode="External"/><Relationship Id="rId23" Type="http://schemas.openxmlformats.org/officeDocument/2006/relationships/theme" Target="theme/theme1.xml"/><Relationship Id="rId10" Type="http://schemas.openxmlformats.org/officeDocument/2006/relationships/hyperlink" Target="https://knowledgebase.also-chicago.org/knowledgebase/wp-content/uploads/2020/11/Frequently-Asked-Questions-About-STOP-Formula-Grants.pdf" TargetMode="External"/><Relationship Id="rId19" Type="http://schemas.openxmlformats.org/officeDocument/2006/relationships/hyperlink" Target="https://stopgrants.org/resource-library/stop-ta-clinic-10-16-2023-prosecution-certification-with-john-wilkinson-of-aequitas/" TargetMode="External"/><Relationship Id="rId4" Type="http://schemas.openxmlformats.org/officeDocument/2006/relationships/settings" Target="settings.xml"/><Relationship Id="rId9" Type="http://schemas.openxmlformats.org/officeDocument/2006/relationships/hyperlink" Target="https://www.law.cornell.edu/uscode/text/34/10449" TargetMode="External"/><Relationship Id="rId14" Type="http://schemas.openxmlformats.org/officeDocument/2006/relationships/hyperlink" Target="https://www.preventdvgunviolence.org/assets/documents/downloadable-resources/ncpoffc-firearm-checklist-judges.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0tTtioQVSwM2aolBvguz+sgQmsQ==">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Pages>
  <Words>962</Words>
  <Characters>5484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Shosh Pojawa</cp:lastModifiedBy>
  <cp:revision>4</cp:revision>
  <dcterms:created xsi:type="dcterms:W3CDTF">2024-01-18T20:40:00Z</dcterms:created>
  <dcterms:modified xsi:type="dcterms:W3CDTF">2024-03-22T19:15:00Z</dcterms:modified>
</cp:coreProperties>
</file>